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1048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133"/>
        <w:gridCol w:w="7352"/>
        <w:tblGridChange w:id="0">
          <w:tblGrid>
            <w:gridCol w:w="3133"/>
            <w:gridCol w:w="7352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  <w:shd w:fill="fae2d6" w:val="clear"/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 SERVICIOS PÚBLICOS OFERTADOS POR EL O.P.D. INSTITUTO JALISCIENSE DE CANCEROLOGÍA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Nombre del Servicio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Servicio de quimioterapia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Unidad administrativa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Responsable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Dirección médica/Quimioterapia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rPr>
          <w:rFonts w:ascii="Questrial" w:cs="Questrial" w:eastAsia="Questrial" w:hAnsi="Quest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righ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pPr w:leftFromText="141" w:rightFromText="141" w:topFromText="0" w:bottomFromText="0" w:vertAnchor="text" w:horzAnchor="text" w:tblpX="0" w:tblpY="0"/>
        <w:tblW w:w="10343.0" w:type="dxa"/>
        <w:jc w:val="left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2122"/>
        <w:gridCol w:w="3543"/>
        <w:gridCol w:w="1418"/>
        <w:gridCol w:w="3260"/>
        <w:tblGridChange w:id="0">
          <w:tblGrid>
            <w:gridCol w:w="2122"/>
            <w:gridCol w:w="3543"/>
            <w:gridCol w:w="1418"/>
            <w:gridCol w:w="3260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Procedimiento, requisitos y formatos. 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el paciente sea derivado del servicio de Oncología médica.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a solicitar su cita con el Formato “Hoja de Tratamiento de Quimioterapia” que le otorga el Oncólogo médico al primer piso al servicio de Aplicación de Quimioterapia.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Antes de asistir a su cita deberá de seguir las indicaciones de su Oncólogo médico en caso de pre medicación.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día de la aplicación de la quimioterapia deberá de acudir acompañada de un familiar o persona mayor de edad, para que le sea aplicada la quimioterapia.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a su cita puntualmente en el horario que se le otorgo.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Número y tipo de beneficiarios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2"/>
                <w:szCs w:val="22"/>
                <w:rtl w:val="0"/>
              </w:rPr>
              <w:t xml:space="preserve">Pacientes mayores de 17 años que presenten alguna neoplasia y requieran quimioterapia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Recursos materiales humanos y financieros asignados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de Consulta de Quimioterapia</w:t>
              <w:br w:type="textWrapping"/>
              <w:t xml:space="preserve">Central de Mezclas</w:t>
              <w:br w:type="textWrapping"/>
              <w:t xml:space="preserve">Área de aplicación de Quimioterapia.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Médicos Especialistas en oncología médica, hematología, Químico y enfermeras.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Costo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Aplicación: $210.00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Domicilio de las oficinas donde se realiza el trámite.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2"/>
                <w:szCs w:val="22"/>
                <w:rtl w:val="0"/>
              </w:rPr>
              <w:t xml:space="preserve">Puerto Guaymas N° 418</w:t>
              <w:br w:type="textWrapping"/>
              <w:t xml:space="preserve">Col. Miramar</w:t>
              <w:br w:type="textWrapping"/>
              <w:t xml:space="preserve">Zapopan, Jalisco.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Fundamento legal de su cobro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"Decreto de Creación del Instituto Jalisciense de Cancerología. Tabulador de cuotas de recuperación vigente del IJC.”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567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Questrial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-266699</wp:posOffset>
              </wp:positionV>
              <wp:extent cx="437515" cy="889000"/>
              <wp:effectExtent b="0" l="0" r="0" t="0"/>
              <wp:wrapSquare wrapText="bothSides" distB="0" distT="0" distL="114300" distR="11430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27225" y="3335500"/>
                        <a:ext cx="437515" cy="889000"/>
                        <a:chOff x="5127225" y="3335500"/>
                        <a:chExt cx="436975" cy="889000"/>
                      </a:xfrm>
                    </wpg:grpSpPr>
                    <wpg:grpSp>
                      <wpg:cNvGrpSpPr/>
                      <wpg:grpSpPr>
                        <a:xfrm>
                          <a:off x="5127243" y="3335500"/>
                          <a:ext cx="437515" cy="889000"/>
                          <a:chOff x="116" y="-1120"/>
                          <a:chExt cx="527" cy="1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6" y="-1120"/>
                            <a:ext cx="525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1" y="-1120"/>
                            <a:ext cx="412" cy="1400"/>
                          </a:xfrm>
                          <a:custGeom>
                            <a:rect b="b" l="l" r="r" t="t"/>
                            <a:pathLst>
                              <a:path extrusionOk="0" h="1650" w="592">
                                <a:moveTo>
                                  <a:pt x="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9"/>
                                </a:lnTo>
                                <a:lnTo>
                                  <a:pt x="591" y="1649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184A">
                              <a:alpha val="74901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16" y="-1120"/>
                            <a:ext cx="123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-266699</wp:posOffset>
              </wp:positionV>
              <wp:extent cx="437515" cy="889000"/>
              <wp:effectExtent b="0" l="0" r="0" t="0"/>
              <wp:wrapSquare wrapText="bothSides" distB="0" distT="0" distL="114300" distR="11430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515" cy="889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-768349</wp:posOffset>
          </wp:positionH>
          <wp:positionV relativeFrom="paragraph">
            <wp:posOffset>-229234</wp:posOffset>
          </wp:positionV>
          <wp:extent cx="1704975" cy="5143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C77A5"/>
    <w:pPr>
      <w:spacing w:after="0" w:line="240" w:lineRule="auto"/>
    </w:pPr>
    <w:rPr>
      <w:rFonts w:ascii="Times New Roman" w:cs="Times New Roman" w:eastAsia="Times New Roman" w:hAnsi="Times New Roman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C77A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C77A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C77A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C77A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C77A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C77A5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C77A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C77A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C77A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C77A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C77A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C77A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C77A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C77A5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C77A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C77A5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C77A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C77A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C77A5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C77A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C77A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C77A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C77A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C77A5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C77A5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C77A5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C77A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C77A5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C77A5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4C77A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C77A5"/>
    <w:rPr>
      <w:rFonts w:ascii="Times New Roman" w:cs="Times New Roman" w:eastAsia="Times New Roman" w:hAnsi="Times New Roman"/>
      <w:kern w:val="0"/>
      <w:lang w:eastAsia="es-ES"/>
    </w:rPr>
  </w:style>
  <w:style w:type="table" w:styleId="Tablaconcuadrcula">
    <w:name w:val="Table Grid"/>
    <w:basedOn w:val="Tablanormal"/>
    <w:rsid w:val="004C77A5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4C77A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C77A5"/>
    <w:rPr>
      <w:rFonts w:ascii="Times New Roman" w:cs="Times New Roman" w:eastAsia="Times New Roman" w:hAnsi="Times New Roman"/>
      <w:kern w:val="0"/>
      <w:lang w:eastAsia="es-ES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zP28hx1bRyQxmb6R+YzeT62YOw==">CgMxLjA4AHIhMURVZjhvZWxnUjdnekpPTExRcDZPRE1WNlpacFNaTDdH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2025-01-03T15:30:00Z</dcterms:created>
  <dc:creator>Betsy Rivera</dc:creator>
</cp:coreProperties>
</file>